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45" w:rsidRPr="009F7E45" w:rsidRDefault="009F7E45" w:rsidP="009F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F7E4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Strasbourg</w:t>
      </w:r>
      <w:proofErr w:type="spellEnd"/>
      <w:r w:rsidRPr="009F7E4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, 17 </w:t>
      </w:r>
      <w:proofErr w:type="spellStart"/>
      <w:r w:rsidRPr="009F7E4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November</w:t>
      </w:r>
      <w:proofErr w:type="spellEnd"/>
      <w:r w:rsidRPr="009F7E4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2010                                      CCJE (2010)3 </w:t>
      </w:r>
      <w:proofErr w:type="spellStart"/>
      <w:r w:rsidRPr="009F7E4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Final</w:t>
      </w:r>
      <w:proofErr w:type="spellEnd"/>
    </w:p>
    <w:p w:rsidR="009F7E45" w:rsidRPr="009F7E45" w:rsidRDefault="009F7E45" w:rsidP="009F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7E45" w:rsidRPr="009F7E45" w:rsidRDefault="009F7E45" w:rsidP="009F7E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F7E4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uk-UA"/>
        </w:rPr>
        <w:t>CONSULTATIVE COUNCIL OF EUROPEAN JUDGES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(CCJE)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Due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incoherence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between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English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French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versions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highlighted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several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CCJE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members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better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coherence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with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Opinion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No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. 3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CCJE (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paragraph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57),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Secretariat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previously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modified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paragraph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22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Magna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Carta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officially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adopted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CCJE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November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2010.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Following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last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meeting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Bureau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(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March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2011),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it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has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been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decided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come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back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this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version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.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Therefore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is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requested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Each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user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verify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that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paragraph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22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Magna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Carta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used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since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then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corresponds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appended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text</w:t>
      </w:r>
      <w:proofErr w:type="spellEnd"/>
      <w:r w:rsidRPr="009F7E45">
        <w:rPr>
          <w:rFonts w:ascii="Arial" w:eastAsia="Times New Roman" w:hAnsi="Arial" w:cs="Arial"/>
          <w:b/>
          <w:bCs/>
          <w:i/>
          <w:iCs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MAGNA CARTA OF JUDGES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(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Fundamental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Principles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)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Introduction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: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occasion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its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10</w:t>
      </w:r>
      <w:r w:rsidRPr="009F7E45">
        <w:rPr>
          <w:rFonts w:ascii="Arial" w:eastAsia="Times New Roman" w:hAnsi="Arial" w:cs="Arial"/>
          <w:i/>
          <w:iCs/>
          <w:color w:val="000000"/>
          <w:vertAlign w:val="superscript"/>
          <w:lang w:eastAsia="uk-UA"/>
        </w:rPr>
        <w:t>th</w:t>
      </w:r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anniversary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CCJE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adopted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during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its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11</w:t>
      </w:r>
      <w:r w:rsidRPr="009F7E45">
        <w:rPr>
          <w:rFonts w:ascii="Arial" w:eastAsia="Times New Roman" w:hAnsi="Arial" w:cs="Arial"/>
          <w:i/>
          <w:iCs/>
          <w:color w:val="000000"/>
          <w:vertAlign w:val="superscript"/>
          <w:lang w:eastAsia="uk-UA"/>
        </w:rPr>
        <w:t>th</w:t>
      </w:r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plenary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meeting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(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Strasbourg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, 17-19</w:t>
      </w:r>
      <w:bookmarkStart w:id="0" w:name="_GoBack"/>
      <w:bookmarkEnd w:id="0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November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2010), a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Magna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Carta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(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Fundamental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Principles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)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summarising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codifying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main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conclusions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Opinions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that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it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already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adopted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Each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those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12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Opinions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brought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attention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Committee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Ministers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Council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Europe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contains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additional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considerations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on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topics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addressed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this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document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(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see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www.coe.int/ccje).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Arial" w:eastAsia="Times New Roman" w:hAnsi="Arial" w:cs="Arial"/>
          <w:color w:val="000000"/>
          <w:lang w:eastAsia="uk-UA"/>
        </w:rPr>
        <w:br w:type="textWrapping" w:clear="all"/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MAGNA CARTA OF JUDGES (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Fundamental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Principles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)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Rule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law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justice</w:t>
      </w:r>
      <w:proofErr w:type="spellEnd"/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one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three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powers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democratic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Its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mission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guarantee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very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existence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Rule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Law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thus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ensure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proper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application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law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impartial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just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fair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efficient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manner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Independence</w:t>
      </w:r>
      <w:proofErr w:type="spellEnd"/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2.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impartiality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essential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prerequisites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operation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justice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3.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statutory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functional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financial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guaranteed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with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regard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other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powers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those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seeking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justice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other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society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general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means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national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rules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highest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level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each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responsible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promoting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protecting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Default="009F7E45" w:rsidP="009F7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4.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guaranteed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respect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activities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particular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respect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recruitment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nomination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until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age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retirement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promotions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irremovability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training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immunity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discipline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remuneration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financing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</w:pP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lastRenderedPageBreak/>
        <w:t>Guarantees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independence</w:t>
      </w:r>
      <w:proofErr w:type="spellEnd"/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5.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Decisions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selection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nomination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career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based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objective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criteria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taken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body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charge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guaranteeing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6.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Disciplinary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proceedings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take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place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before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body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with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possibility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recourse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before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court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7.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Following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consultation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with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ensure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human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material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financial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resources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necessary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proper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operation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justice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system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order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avoid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undue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influence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receive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appropriate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remuneration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provided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with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adequate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pension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scheme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established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law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8.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Initial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in-service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training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right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duty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organised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under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supervision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Training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important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element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safeguard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well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quality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efficiency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system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9.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involved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decisions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which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affect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practice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functions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(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organisation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courts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procedures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other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legislation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). 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10.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exercise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their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function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administer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justice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not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subject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order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instruction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hierarchical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pressure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bound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only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law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11.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ensure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equality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arms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between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prosecution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defence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status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prosecutors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fundamental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requirement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Rule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Law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12.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have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right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members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national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international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associations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entrusted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with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defence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mission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society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Body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charge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guaranteeing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independence</w:t>
      </w:r>
      <w:proofErr w:type="spellEnd"/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13.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ensure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each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create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Council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another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specific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body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itself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independent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from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legislative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executive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powers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endowed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with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broad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competences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questions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concerning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their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status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well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organisation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functioning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image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institutions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Council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composed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either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exclusively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substantial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majority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elected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their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peers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Council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accountable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its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activities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decisions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Access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justice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transparency</w:t>
      </w:r>
      <w:proofErr w:type="spellEnd"/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14.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Justice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transparent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information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published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operation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system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15.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take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steps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ensure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access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swift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efficient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affordable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dispute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resolution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;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contribute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promotion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alternative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dispute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resolution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methods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16.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Court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documents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decisions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drafted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accessible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simple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clear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language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issue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reasoned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decisions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pronounced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public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within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reasonable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time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based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fair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public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hearing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use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appropriate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case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management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methods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Default="009F7E45" w:rsidP="009F7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17.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enforcement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court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orders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essential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component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right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fair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trial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also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guarantee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efficiency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justice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</w:pP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lastRenderedPageBreak/>
        <w:t>Ethics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responsibility</w:t>
      </w:r>
      <w:proofErr w:type="spellEnd"/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18.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Deontological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principles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distinguished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from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disciplinary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rules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guide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actions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drafted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themselves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included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their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training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19.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each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statute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fundamental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charter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applicable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define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misconduct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which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may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lead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disciplinary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sanctions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well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disciplinary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procedure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20.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criminally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liable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ordinary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law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offences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committed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outside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their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office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Criminal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liability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not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imposed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unintentional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failings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exercise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their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functions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21.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remedy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errors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should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lie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appropriate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system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appeals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remedy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other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failings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administration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justice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lies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only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against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22.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not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appropriate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exposed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respect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purported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exercise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judicial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functions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personal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liability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even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way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reimbursement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state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except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case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wilful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default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International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courts</w:t>
      </w:r>
      <w:proofErr w:type="spellEnd"/>
    </w:p>
    <w:p w:rsidR="009F7E45" w:rsidRDefault="009F7E45" w:rsidP="009F7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uk-UA"/>
        </w:rPr>
      </w:pPr>
      <w:r w:rsidRPr="009F7E45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23.</w:t>
      </w:r>
      <w:r w:rsidRPr="009F7E45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These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principles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shall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apply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mutatis</w:t>
      </w:r>
      <w:proofErr w:type="spellEnd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i/>
          <w:iCs/>
          <w:color w:val="000000"/>
          <w:lang w:eastAsia="uk-UA"/>
        </w:rPr>
        <w:t>mutandis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judges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all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European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international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courts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</w:p>
    <w:p w:rsidR="009F7E45" w:rsidRDefault="009F7E45" w:rsidP="009F7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uk-UA"/>
        </w:rPr>
      </w:pPr>
    </w:p>
    <w:p w:rsidR="009F7E45" w:rsidRDefault="009F7E45" w:rsidP="009F7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uk-UA"/>
        </w:rPr>
      </w:pPr>
    </w:p>
    <w:p w:rsidR="009F7E45" w:rsidRDefault="009F7E45" w:rsidP="009F7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uk-UA"/>
        </w:rPr>
      </w:pPr>
    </w:p>
    <w:p w:rsidR="009F7E45" w:rsidRDefault="009F7E45" w:rsidP="009F7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uk-UA"/>
        </w:rPr>
      </w:pPr>
    </w:p>
    <w:p w:rsidR="009F7E45" w:rsidRDefault="009F7E45" w:rsidP="009F7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uk-UA"/>
        </w:rPr>
      </w:pPr>
    </w:p>
    <w:p w:rsidR="009F7E45" w:rsidRDefault="009F7E45" w:rsidP="009F7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uk-UA"/>
        </w:rPr>
      </w:pP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</w:pP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F7E45">
        <w:rPr>
          <w:rFonts w:ascii="Arial" w:eastAsia="Times New Roman" w:hAnsi="Arial" w:cs="Arial"/>
          <w:color w:val="000000"/>
          <w:lang w:eastAsia="uk-UA"/>
        </w:rPr>
        <w:t>_______________</w:t>
      </w:r>
    </w:p>
    <w:p w:rsidR="009F7E45" w:rsidRPr="009F7E45" w:rsidRDefault="009F7E45" w:rsidP="009F7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1" w:name="Footnote_1"/>
      <w:r w:rsidRPr="009F7E45">
        <w:rPr>
          <w:rFonts w:ascii="Arial" w:eastAsia="Times New Roman" w:hAnsi="Arial" w:cs="Arial"/>
          <w:color w:val="000000"/>
          <w:vertAlign w:val="superscript"/>
          <w:lang w:eastAsia="uk-UA"/>
        </w:rPr>
        <w:t>(1)</w:t>
      </w:r>
      <w:bookmarkEnd w:id="1"/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Due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incoherence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between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English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French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versions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highlighted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several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CCJE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members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and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a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better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coherence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with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Opinion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3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CCJE (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paragraph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57),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Secretariat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previously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modified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paragraph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22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Magna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Carta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officially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adopted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by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CCJE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November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.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Following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last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meeting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Bureau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(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March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2011),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it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has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been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decided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come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back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this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color w:val="000000"/>
          <w:lang w:eastAsia="uk-UA"/>
        </w:rPr>
        <w:t>version</w:t>
      </w:r>
      <w:proofErr w:type="spellEnd"/>
      <w:r w:rsidRPr="009F7E45">
        <w:rPr>
          <w:rFonts w:ascii="Arial" w:eastAsia="Times New Roman" w:hAnsi="Arial" w:cs="Arial"/>
          <w:color w:val="000000"/>
          <w:lang w:eastAsia="uk-UA"/>
        </w:rPr>
        <w:t>.</w:t>
      </w:r>
      <w:r w:rsidRPr="009F7E4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Therefore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,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is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requested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Each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user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verify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that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paragraph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22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of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Magna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Carta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used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since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then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corresponds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to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the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appended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 xml:space="preserve"> </w:t>
      </w:r>
      <w:proofErr w:type="spellStart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text</w:t>
      </w:r>
      <w:proofErr w:type="spellEnd"/>
      <w:r w:rsidRPr="009F7E45">
        <w:rPr>
          <w:rFonts w:ascii="Arial" w:eastAsia="Times New Roman" w:hAnsi="Arial" w:cs="Arial"/>
          <w:b/>
          <w:bCs/>
          <w:color w:val="000000"/>
          <w:lang w:eastAsia="uk-UA"/>
        </w:rPr>
        <w:t>.</w:t>
      </w:r>
    </w:p>
    <w:p w:rsidR="00CA06C0" w:rsidRDefault="00CA06C0"/>
    <w:sectPr w:rsidR="00CA06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45"/>
    <w:rsid w:val="009F7E45"/>
    <w:rsid w:val="00C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2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4526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Купач Дарина Андріївна</dc:creator>
  <cp:lastModifiedBy>Купач Дарина Андріївна</cp:lastModifiedBy>
  <cp:revision>1</cp:revision>
  <dcterms:created xsi:type="dcterms:W3CDTF">2022-09-15T12:37:00Z</dcterms:created>
  <dcterms:modified xsi:type="dcterms:W3CDTF">2022-09-15T12:39:00Z</dcterms:modified>
</cp:coreProperties>
</file>